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79" w:rsidRDefault="001D5E4F">
      <w:pPr>
        <w:spacing w:after="0"/>
        <w:jc w:val="right"/>
      </w:pPr>
      <w:r>
        <w:rPr>
          <w:rFonts w:ascii="Lato Black"/>
          <w:b/>
        </w:rPr>
        <w:t>MSBA Core Manual</w:t>
      </w:r>
    </w:p>
    <w:p w:rsidR="005C2779" w:rsidRDefault="001D5E4F">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5C2779">
        <w:tc>
          <w:tcPr>
            <w:tcW w:w="0" w:type="auto"/>
            <w:shd w:val="clear" w:color="auto" w:fill="EFEFEF"/>
          </w:tcPr>
          <w:p w:rsidR="005C2779" w:rsidRDefault="001D5E4F">
            <w:pPr>
              <w:spacing w:after="0"/>
            </w:pPr>
            <w:r>
              <w:rPr>
                <w:rFonts w:ascii="Lato Black"/>
                <w:b/>
              </w:rPr>
              <w:t>Policy EBBC: LACTATION SUPPORT</w:t>
            </w:r>
          </w:p>
        </w:tc>
        <w:tc>
          <w:tcPr>
            <w:tcW w:w="1000" w:type="pct"/>
            <w:shd w:val="clear" w:color="auto" w:fill="EFEFEF"/>
          </w:tcPr>
          <w:p w:rsidR="005C2779" w:rsidRDefault="001D5E4F">
            <w:r>
              <w:rPr>
                <w:rFonts w:ascii="Lato Black"/>
                <w:b/>
              </w:rPr>
              <w:t xml:space="preserve">Status: </w:t>
            </w:r>
            <w:r>
              <w:rPr>
                <w:rFonts w:ascii="Lato"/>
              </w:rPr>
              <w:t>ADOPTED</w:t>
            </w:r>
          </w:p>
        </w:tc>
      </w:tr>
      <w:tr w:rsidR="005C2779">
        <w:tc>
          <w:tcPr>
            <w:tcW w:w="0" w:type="auto"/>
            <w:shd w:val="clear" w:color="auto" w:fill="EFEFEF"/>
          </w:tcPr>
          <w:p w:rsidR="005C2779" w:rsidRDefault="001D5E4F">
            <w:r>
              <w:rPr>
                <w:rFonts w:ascii="Lato Black"/>
                <w:b/>
                <w:sz w:val="18"/>
              </w:rPr>
              <w:t xml:space="preserve">Original Adopted Date: </w:t>
            </w:r>
            <w:r>
              <w:rPr>
                <w:rFonts w:ascii="Lato"/>
                <w:sz w:val="18"/>
              </w:rPr>
              <w:t>03/15/2022</w:t>
            </w:r>
            <w:r>
              <w:rPr>
                <w:rFonts w:ascii="Lato Black"/>
                <w:b/>
                <w:sz w:val="18"/>
              </w:rPr>
              <w:t xml:space="preserve"> | Last Revised Date: </w:t>
            </w:r>
            <w:r>
              <w:rPr>
                <w:rFonts w:ascii="Lato"/>
                <w:sz w:val="18"/>
              </w:rPr>
              <w:t>03/22/2022</w:t>
            </w:r>
            <w:r w:rsidR="00A21072">
              <w:rPr>
                <w:rFonts w:ascii="Lato Black"/>
                <w:b/>
                <w:sz w:val="18"/>
              </w:rPr>
              <w:t xml:space="preserve"> | Last Reviewed Date: </w:t>
            </w:r>
            <w:r>
              <w:rPr>
                <w:rFonts w:ascii="Lato"/>
                <w:sz w:val="18"/>
              </w:rPr>
              <w:t>03/22/2022</w:t>
            </w:r>
            <w:r w:rsidR="00A21072">
              <w:rPr>
                <w:rFonts w:ascii="Lato"/>
                <w:sz w:val="18"/>
              </w:rPr>
              <w:t>; 1/19/2023</w:t>
            </w:r>
          </w:p>
        </w:tc>
        <w:tc>
          <w:tcPr>
            <w:tcW w:w="0" w:type="auto"/>
            <w:shd w:val="clear" w:color="auto" w:fill="EFEFEF"/>
          </w:tcPr>
          <w:p w:rsidR="005C2779" w:rsidRDefault="005C2779">
            <w:pPr>
              <w:spacing w:after="0"/>
            </w:pPr>
          </w:p>
        </w:tc>
      </w:tr>
    </w:tbl>
    <w:p w:rsidR="005C2779" w:rsidRDefault="005C2779">
      <w:pPr>
        <w:spacing w:after="30"/>
        <w:jc w:val="right"/>
      </w:pPr>
    </w:p>
    <w:p w:rsidR="00FB71E1" w:rsidRDefault="001D5E4F">
      <w:pPr>
        <w:divId w:val="151723208"/>
        <w:rPr>
          <w:rFonts w:ascii="Lato" w:eastAsia="Times New Roman" w:hAnsi="Lato"/>
        </w:rPr>
      </w:pPr>
      <w:r>
        <w:rPr>
          <w:rFonts w:ascii="Lato" w:eastAsia="Times New Roman" w:hAnsi="Lato"/>
        </w:rPr>
        <w:t xml:space="preserve">For the convenience of district staff, students and the public and to support the care of children, the district will provide accommodations as required by law for lactation activities. For the purposes of this policy, "lactation activities" include expressing breast milk, breastfeeding a child or addressing other needs related to lactation. The district will provide employees and students a minimum of three opportunities during a school day, at intervals agreed upon by the district and the individual, to express breast milk or breastfeed a child for at least one year following the child's birth. </w:t>
      </w:r>
    </w:p>
    <w:p w:rsidR="00FB71E1" w:rsidRDefault="001D5E4F">
      <w:pPr>
        <w:pStyle w:val="Heading3"/>
        <w:divId w:val="151723208"/>
        <w:rPr>
          <w:rFonts w:ascii="Lato" w:eastAsia="Times New Roman" w:hAnsi="Lato"/>
        </w:rPr>
      </w:pPr>
      <w:r>
        <w:rPr>
          <w:rFonts w:ascii="Lato" w:eastAsia="Times New Roman" w:hAnsi="Lato"/>
        </w:rPr>
        <w:t>Lactation Rooms</w:t>
      </w:r>
      <w:bookmarkStart w:id="0" w:name="_GoBack"/>
      <w:bookmarkEnd w:id="0"/>
    </w:p>
    <w:p w:rsidR="00FB71E1" w:rsidRDefault="001D5E4F">
      <w:pPr>
        <w:divId w:val="151723208"/>
        <w:rPr>
          <w:rFonts w:ascii="Lato" w:eastAsia="Times New Roman" w:hAnsi="Lato"/>
        </w:rPr>
      </w:pPr>
      <w:r>
        <w:rPr>
          <w:rFonts w:ascii="Lato" w:eastAsia="Times New Roman" w:hAnsi="Lato"/>
        </w:rPr>
        <w:br/>
        <w:t xml:space="preserve">In accordance with state law, the district allows breastfeeding or expressing breast milk, with discretion, in any public or private location where the person is otherwise authorized to be. To further accommodate lactation activities, the superintendent or designee will identify at least one room that is not a restroom in each school building to be used exclusively for lactation activities. The room will meet the requirements of state law. </w:t>
      </w:r>
    </w:p>
    <w:p w:rsidR="00FB71E1" w:rsidRDefault="001D5E4F">
      <w:pPr>
        <w:pStyle w:val="Heading3"/>
        <w:divId w:val="151723208"/>
        <w:rPr>
          <w:rFonts w:ascii="Lato" w:eastAsia="Times New Roman" w:hAnsi="Lato"/>
        </w:rPr>
      </w:pPr>
      <w:r>
        <w:rPr>
          <w:rFonts w:ascii="Lato" w:eastAsia="Times New Roman" w:hAnsi="Lato"/>
        </w:rPr>
        <w:t>Employees</w:t>
      </w:r>
    </w:p>
    <w:p w:rsidR="00FB71E1" w:rsidRDefault="001D5E4F">
      <w:pPr>
        <w:divId w:val="151723208"/>
        <w:rPr>
          <w:rFonts w:ascii="Lato" w:eastAsia="Times New Roman" w:hAnsi="Lato"/>
        </w:rPr>
      </w:pPr>
      <w:r>
        <w:rPr>
          <w:rFonts w:ascii="Lato" w:eastAsia="Times New Roman" w:hAnsi="Lato"/>
        </w:rPr>
        <w:br/>
        <w:t>Employees are encouraged to notify their supervisors in advance if they need accommodations for lactation activities. The supervisor will work with the employee to address arrangements and scheduling to ensure that the employee's duties are covered during the break time and minimize disruptions to the school day.</w:t>
      </w:r>
      <w:r>
        <w:rPr>
          <w:rFonts w:ascii="Lato" w:eastAsia="Times New Roman" w:hAnsi="Lato"/>
        </w:rPr>
        <w:br/>
      </w:r>
      <w:r>
        <w:rPr>
          <w:rFonts w:ascii="Lato" w:eastAsia="Times New Roman" w:hAnsi="Lato"/>
        </w:rPr>
        <w:br/>
        <w:t>Providing breaks to classroom teachers and other employees who directly supervise students throughout the day is particularly challenging because students cannot be left unsupervised and student learning cannot be disrupted. The district expects these employees to be particularly flexible and, when possible, to use planning periods, lunch breaks, routine breaks in their class schedule or other free time to meet their lactation-related needs.</w:t>
      </w:r>
      <w:r>
        <w:rPr>
          <w:rFonts w:ascii="Lato" w:eastAsia="Times New Roman" w:hAnsi="Lato"/>
        </w:rPr>
        <w:br/>
      </w:r>
      <w:r>
        <w:rPr>
          <w:rFonts w:ascii="Lato" w:eastAsia="Times New Roman" w:hAnsi="Lato"/>
        </w:rPr>
        <w:br/>
        <w:t xml:space="preserve">This policy does not entitle an employee to bring or keep an infant at work during times when the employee is required to be working. </w:t>
      </w:r>
    </w:p>
    <w:p w:rsidR="00FB71E1" w:rsidRDefault="001D5E4F">
      <w:pPr>
        <w:pStyle w:val="Heading3"/>
        <w:divId w:val="151723208"/>
        <w:rPr>
          <w:rFonts w:ascii="Lato" w:eastAsia="Times New Roman" w:hAnsi="Lato"/>
        </w:rPr>
      </w:pPr>
      <w:r>
        <w:rPr>
          <w:rFonts w:ascii="Lato" w:eastAsia="Times New Roman" w:hAnsi="Lato"/>
        </w:rPr>
        <w:t>Students</w:t>
      </w:r>
    </w:p>
    <w:p w:rsidR="00FB71E1" w:rsidRDefault="001D5E4F">
      <w:pPr>
        <w:divId w:val="151723208"/>
        <w:rPr>
          <w:rFonts w:ascii="Lato" w:eastAsia="Times New Roman" w:hAnsi="Lato"/>
        </w:rPr>
      </w:pPr>
      <w:r>
        <w:rPr>
          <w:rFonts w:ascii="Lato" w:eastAsia="Times New Roman" w:hAnsi="Lato"/>
        </w:rPr>
        <w:br/>
        <w:t>Lactating students should contact the counselor, who will make arrangements with the student to create a schedule that results in the least amount of missed class time. Students will be allowed to make up work missed due to lactation activities. If it is not possible to make up the missed work, the student will be provided an alternative assignment.</w:t>
      </w:r>
      <w:r>
        <w:rPr>
          <w:rFonts w:ascii="Lato" w:eastAsia="Times New Roman" w:hAnsi="Lato"/>
        </w:rPr>
        <w:br/>
      </w:r>
      <w:r>
        <w:rPr>
          <w:rFonts w:ascii="Lato" w:eastAsia="Times New Roman" w:hAnsi="Lato"/>
        </w:rPr>
        <w:br/>
        <w:t xml:space="preserve">This policy does not entitle a student to bring an infant to school during the school day when the student is required to be in class. </w:t>
      </w:r>
    </w:p>
    <w:p w:rsidR="00FB71E1" w:rsidRDefault="001D5E4F">
      <w:pPr>
        <w:pStyle w:val="Heading3"/>
        <w:divId w:val="151723208"/>
        <w:rPr>
          <w:rFonts w:ascii="Lato" w:eastAsia="Times New Roman" w:hAnsi="Lato"/>
        </w:rPr>
      </w:pPr>
      <w:r>
        <w:rPr>
          <w:rFonts w:ascii="Lato" w:eastAsia="Times New Roman" w:hAnsi="Lato"/>
        </w:rPr>
        <w:lastRenderedPageBreak/>
        <w:t>Public</w:t>
      </w:r>
    </w:p>
    <w:p w:rsidR="00FB71E1" w:rsidRDefault="001D5E4F">
      <w:pPr>
        <w:divId w:val="151723208"/>
        <w:rPr>
          <w:rFonts w:ascii="Lato" w:eastAsia="Times New Roman" w:hAnsi="Lato"/>
        </w:rPr>
      </w:pPr>
      <w:r>
        <w:rPr>
          <w:rFonts w:ascii="Lato" w:eastAsia="Times New Roman" w:hAnsi="Lato"/>
        </w:rPr>
        <w:br/>
        <w:t xml:space="preserve">Members of the public are allowed to engage in lactation activities while on district property and </w:t>
      </w:r>
      <w:proofErr w:type="gramStart"/>
      <w:r>
        <w:rPr>
          <w:rFonts w:ascii="Lato" w:eastAsia="Times New Roman" w:hAnsi="Lato"/>
        </w:rPr>
        <w:t>may</w:t>
      </w:r>
      <w:proofErr w:type="gramEnd"/>
      <w:r>
        <w:rPr>
          <w:rFonts w:ascii="Lato" w:eastAsia="Times New Roman" w:hAnsi="Lato"/>
        </w:rPr>
        <w:t xml:space="preserve"> use the district's designated lactation rooms to do so.</w:t>
      </w:r>
      <w:r>
        <w:rPr>
          <w:rFonts w:ascii="Lato" w:eastAsia="Times New Roman" w:hAnsi="Lato"/>
        </w:rPr>
        <w:br/>
      </w:r>
      <w:r>
        <w:rPr>
          <w:rFonts w:ascii="Lato" w:eastAsia="Times New Roman" w:hAnsi="Lato"/>
        </w:rPr>
        <w:br/>
        <w:t xml:space="preserve">  </w:t>
      </w:r>
    </w:p>
    <w:p w:rsidR="00FB71E1" w:rsidRDefault="001D5E4F">
      <w:pPr>
        <w:divId w:val="1971935515"/>
        <w:rPr>
          <w:rFonts w:ascii="Lato" w:eastAsia="Times New Roman" w:hAnsi="Lato"/>
        </w:rPr>
      </w:pPr>
      <w:r>
        <w:rPr>
          <w:rFonts w:ascii="Lato" w:eastAsia="Times New Roman" w:hAnsi="Lato"/>
        </w:rPr>
        <w:t> </w:t>
      </w:r>
    </w:p>
    <w:p w:rsidR="005C2779" w:rsidRDefault="001D5E4F">
      <w:pPr>
        <w:spacing w:after="0"/>
      </w:pPr>
      <w:proofErr w:type="gramStart"/>
      <w:r>
        <w:rPr>
          <w:rFonts w:ascii="Lato"/>
        </w:rPr>
        <w:t>©</w:t>
      </w:r>
      <w:r>
        <w:rPr>
          <w:rFonts w:ascii="Lato"/>
        </w:rPr>
        <w:t xml:space="preserve"> 2022 (3/22), Missouri School Boards' Association.</w:t>
      </w:r>
      <w:proofErr w:type="gramEnd"/>
    </w:p>
    <w:p w:rsidR="005C2779" w:rsidRDefault="001D5E4F">
      <w:pPr>
        <w:spacing w:after="0"/>
      </w:pPr>
      <w:r>
        <w:rPr>
          <w:rFonts w:ascii="Lato"/>
        </w:rPr>
        <w:t>Version: [EBBC-C.1A]</w:t>
      </w:r>
    </w:p>
    <w:p w:rsidR="005C2779" w:rsidRDefault="005C2779">
      <w:pPr>
        <w:pBdr>
          <w:bottom w:val="single" w:sz="5" w:space="1" w:color="auto"/>
        </w:pBdr>
      </w:pPr>
    </w:p>
    <w:p w:rsidR="00FB71E1" w:rsidRDefault="001D5E4F">
      <w:pPr>
        <w:divId w:val="654264378"/>
        <w:rPr>
          <w:rFonts w:ascii="Lato" w:eastAsia="Times New Roman" w:hAnsi="Lato"/>
        </w:rPr>
      </w:pPr>
      <w:r>
        <w:rPr>
          <w:rFonts w:ascii="Lato" w:eastAsia="Times New Roman" w:hAnsi="Lato"/>
        </w:rPr>
        <w:t> </w:t>
      </w:r>
    </w:p>
    <w:p w:rsidR="00FB71E1" w:rsidRDefault="001D5E4F">
      <w:pPr>
        <w:pStyle w:val="Heading2"/>
        <w:shd w:val="clear" w:color="auto" w:fill="FFFFFF"/>
        <w:spacing w:before="0" w:beforeAutospacing="0" w:after="0" w:afterAutospacing="0"/>
        <w:textAlignment w:val="baseline"/>
        <w:divId w:val="389690957"/>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FB71E1" w:rsidRDefault="001D5E4F">
      <w:pPr>
        <w:divId w:val="389690957"/>
        <w:rPr>
          <w:rFonts w:ascii="Lato" w:eastAsia="Times New Roman" w:hAnsi="Lato"/>
        </w:rPr>
      </w:pPr>
      <w:r>
        <w:rPr>
          <w:rFonts w:ascii="Lato" w:eastAsia="Times New Roman" w:hAnsi="Lato"/>
          <w:color w:val="000000"/>
          <w:sz w:val="20"/>
          <w:szCs w:val="20"/>
          <w:shd w:val="clear" w:color="auto" w:fill="FFFFFF"/>
        </w:rPr>
        <w:t> 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5C2779">
        <w:tc>
          <w:tcPr>
            <w:tcW w:w="4017" w:type="dxa"/>
          </w:tcPr>
          <w:p w:rsidR="005C2779" w:rsidRDefault="001D5E4F">
            <w:pPr>
              <w:spacing w:after="0"/>
            </w:pPr>
            <w:r>
              <w:rPr>
                <w:rFonts w:ascii="Lato Black"/>
                <w:b/>
              </w:rPr>
              <w:t>State</w:t>
            </w:r>
          </w:p>
        </w:tc>
        <w:tc>
          <w:tcPr>
            <w:tcW w:w="5961" w:type="dxa"/>
          </w:tcPr>
          <w:p w:rsidR="005C2779" w:rsidRDefault="001D5E4F">
            <w:pPr>
              <w:spacing w:after="0"/>
            </w:pPr>
            <w:r>
              <w:rPr>
                <w:rFonts w:ascii="Lato Black"/>
                <w:b/>
              </w:rPr>
              <w:t>Description</w:t>
            </w:r>
          </w:p>
        </w:tc>
      </w:tr>
      <w:tr w:rsidR="005C2779">
        <w:tc>
          <w:tcPr>
            <w:tcW w:w="4017" w:type="dxa"/>
          </w:tcPr>
          <w:p w:rsidR="005C2779" w:rsidRDefault="001D5E4F">
            <w:pPr>
              <w:spacing w:after="0"/>
            </w:pPr>
            <w:r>
              <w:rPr>
                <w:rFonts w:ascii="Lato"/>
              </w:rPr>
              <w:t>§§</w:t>
            </w:r>
            <w:r>
              <w:rPr>
                <w:rFonts w:ascii="Lato"/>
              </w:rPr>
              <w:t xml:space="preserve"> 160.995</w:t>
            </w:r>
          </w:p>
        </w:tc>
        <w:tc>
          <w:tcPr>
            <w:tcW w:w="5961" w:type="dxa"/>
          </w:tcPr>
          <w:p w:rsidR="005C2779" w:rsidRDefault="00A21072">
            <w:hyperlink r:id="rId5" w:docLocation="https://revisor.mo.gov/main/Home.aspx">
              <w:r w:rsidR="001D5E4F">
                <w:rPr>
                  <w:rFonts w:ascii="Lato"/>
                  <w:color w:val="0000FF" w:themeColor="hyperlink"/>
                  <w:u w:val="single"/>
                </w:rPr>
                <w:t>State Statute</w:t>
              </w:r>
            </w:hyperlink>
          </w:p>
        </w:tc>
      </w:tr>
      <w:tr w:rsidR="005C2779">
        <w:tc>
          <w:tcPr>
            <w:tcW w:w="4017" w:type="dxa"/>
          </w:tcPr>
          <w:p w:rsidR="005C2779" w:rsidRDefault="001D5E4F">
            <w:pPr>
              <w:spacing w:after="0"/>
            </w:pPr>
            <w:r>
              <w:rPr>
                <w:rFonts w:ascii="Lato"/>
              </w:rPr>
              <w:t>§§</w:t>
            </w:r>
            <w:r>
              <w:rPr>
                <w:rFonts w:ascii="Lato"/>
              </w:rPr>
              <w:t xml:space="preserve"> 191.918, </w:t>
            </w:r>
            <w:proofErr w:type="spellStart"/>
            <w:r>
              <w:rPr>
                <w:rFonts w:ascii="Lato"/>
              </w:rPr>
              <w:t>RSMo</w:t>
            </w:r>
            <w:proofErr w:type="spellEnd"/>
            <w:r>
              <w:rPr>
                <w:rFonts w:ascii="Lato"/>
              </w:rPr>
              <w:t>.</w:t>
            </w:r>
          </w:p>
        </w:tc>
        <w:tc>
          <w:tcPr>
            <w:tcW w:w="5961" w:type="dxa"/>
          </w:tcPr>
          <w:p w:rsidR="005C2779" w:rsidRDefault="00A21072">
            <w:hyperlink r:id="rId6" w:docLocation="https://revisor.mo.gov/main/Home.aspx">
              <w:r w:rsidR="001D5E4F">
                <w:rPr>
                  <w:rFonts w:ascii="Lato"/>
                  <w:color w:val="0000FF" w:themeColor="hyperlink"/>
                  <w:u w:val="single"/>
                </w:rPr>
                <w:t>State Statute</w:t>
              </w:r>
            </w:hyperlink>
          </w:p>
        </w:tc>
      </w:tr>
      <w:tr w:rsidR="005C2779">
        <w:tc>
          <w:tcPr>
            <w:tcW w:w="4017" w:type="dxa"/>
          </w:tcPr>
          <w:p w:rsidR="005C2779" w:rsidRDefault="001D5E4F">
            <w:pPr>
              <w:spacing w:after="0"/>
            </w:pPr>
            <w:r>
              <w:rPr>
                <w:rFonts w:ascii="Lato Black"/>
                <w:b/>
              </w:rPr>
              <w:t>Federal</w:t>
            </w:r>
          </w:p>
        </w:tc>
        <w:tc>
          <w:tcPr>
            <w:tcW w:w="5961" w:type="dxa"/>
          </w:tcPr>
          <w:p w:rsidR="005C2779" w:rsidRDefault="001D5E4F">
            <w:pPr>
              <w:spacing w:after="0"/>
            </w:pPr>
            <w:r>
              <w:rPr>
                <w:rFonts w:ascii="Lato Black"/>
                <w:b/>
              </w:rPr>
              <w:t>Description</w:t>
            </w:r>
          </w:p>
        </w:tc>
      </w:tr>
      <w:tr w:rsidR="005C2779">
        <w:tc>
          <w:tcPr>
            <w:tcW w:w="4017" w:type="dxa"/>
          </w:tcPr>
          <w:p w:rsidR="005C2779" w:rsidRDefault="001D5E4F">
            <w:pPr>
              <w:spacing w:after="0"/>
            </w:pPr>
            <w:r>
              <w:rPr>
                <w:rFonts w:ascii="Lato"/>
              </w:rPr>
              <w:t xml:space="preserve">20 U.S.C. </w:t>
            </w:r>
            <w:r>
              <w:rPr>
                <w:rFonts w:ascii="Lato"/>
              </w:rPr>
              <w:t>§</w:t>
            </w:r>
            <w:r>
              <w:rPr>
                <w:rFonts w:ascii="Lato"/>
              </w:rPr>
              <w:t xml:space="preserve"> 1681</w:t>
            </w:r>
          </w:p>
        </w:tc>
        <w:tc>
          <w:tcPr>
            <w:tcW w:w="5961" w:type="dxa"/>
          </w:tcPr>
          <w:p w:rsidR="005C2779" w:rsidRDefault="00A21072">
            <w:hyperlink r:id="rId7" w:docLocation="http://uscode.house.gov/">
              <w:r w:rsidR="001D5E4F">
                <w:rPr>
                  <w:rFonts w:ascii="Lato"/>
                  <w:color w:val="0000FF" w:themeColor="hyperlink"/>
                  <w:u w:val="single"/>
                </w:rPr>
                <w:t>Title IX of the Education Amendments of 1972</w:t>
              </w:r>
            </w:hyperlink>
          </w:p>
        </w:tc>
      </w:tr>
      <w:tr w:rsidR="005C2779">
        <w:tc>
          <w:tcPr>
            <w:tcW w:w="4017" w:type="dxa"/>
          </w:tcPr>
          <w:p w:rsidR="005C2779" w:rsidRDefault="001D5E4F">
            <w:pPr>
              <w:spacing w:after="0"/>
            </w:pPr>
            <w:r>
              <w:rPr>
                <w:rFonts w:ascii="Lato"/>
              </w:rPr>
              <w:t>29 U.S.C. 207</w:t>
            </w:r>
          </w:p>
        </w:tc>
        <w:tc>
          <w:tcPr>
            <w:tcW w:w="5961" w:type="dxa"/>
          </w:tcPr>
          <w:p w:rsidR="005C2779" w:rsidRDefault="00A21072">
            <w:hyperlink r:id="rId8" w:docLocation="http://uscode.house.gov/">
              <w:r w:rsidR="001D5E4F">
                <w:rPr>
                  <w:rFonts w:ascii="Lato"/>
                  <w:color w:val="0000FF" w:themeColor="hyperlink"/>
                  <w:u w:val="single"/>
                </w:rPr>
                <w:t>Federal Statute</w:t>
              </w:r>
            </w:hyperlink>
          </w:p>
        </w:tc>
      </w:tr>
      <w:tr w:rsidR="005C2779">
        <w:tc>
          <w:tcPr>
            <w:tcW w:w="4017" w:type="dxa"/>
          </w:tcPr>
          <w:p w:rsidR="005C2779" w:rsidRDefault="001D5E4F">
            <w:pPr>
              <w:spacing w:after="0"/>
            </w:pPr>
            <w:r>
              <w:rPr>
                <w:rFonts w:ascii="Lato"/>
              </w:rPr>
              <w:t xml:space="preserve">42 U.S.C.  </w:t>
            </w:r>
            <w:r>
              <w:rPr>
                <w:rFonts w:ascii="Lato"/>
              </w:rPr>
              <w:t>§§</w:t>
            </w:r>
            <w:r>
              <w:rPr>
                <w:rFonts w:ascii="Lato"/>
              </w:rPr>
              <w:t xml:space="preserve"> 2000e-1-2000e-17</w:t>
            </w:r>
          </w:p>
        </w:tc>
        <w:tc>
          <w:tcPr>
            <w:tcW w:w="5961" w:type="dxa"/>
          </w:tcPr>
          <w:p w:rsidR="005C2779" w:rsidRDefault="00A21072">
            <w:hyperlink r:id="rId9" w:docLocation="http://uscode.house.gov/">
              <w:r w:rsidR="001D5E4F">
                <w:rPr>
                  <w:rFonts w:ascii="Lato"/>
                  <w:color w:val="0000FF" w:themeColor="hyperlink"/>
                  <w:u w:val="single"/>
                </w:rPr>
                <w:t>Pregnancy Discrimination Act</w:t>
              </w:r>
            </w:hyperlink>
          </w:p>
        </w:tc>
      </w:tr>
      <w:tr w:rsidR="005C2779">
        <w:tc>
          <w:tcPr>
            <w:tcW w:w="4017" w:type="dxa"/>
          </w:tcPr>
          <w:p w:rsidR="005C2779" w:rsidRDefault="001D5E4F">
            <w:pPr>
              <w:spacing w:after="0"/>
            </w:pPr>
            <w:r>
              <w:rPr>
                <w:rFonts w:ascii="Lato"/>
              </w:rPr>
              <w:t xml:space="preserve">42 U.S.C.  </w:t>
            </w:r>
            <w:r>
              <w:rPr>
                <w:rFonts w:ascii="Lato"/>
              </w:rPr>
              <w:t>§§</w:t>
            </w:r>
            <w:r>
              <w:rPr>
                <w:rFonts w:ascii="Lato"/>
              </w:rPr>
              <w:t xml:space="preserve"> 2000e-1-2000e-17</w:t>
            </w:r>
          </w:p>
        </w:tc>
        <w:tc>
          <w:tcPr>
            <w:tcW w:w="5961" w:type="dxa"/>
          </w:tcPr>
          <w:p w:rsidR="005C2779" w:rsidRDefault="00A21072">
            <w:hyperlink r:id="rId10" w:docLocation="http://uscode.house.gov/">
              <w:r w:rsidR="001D5E4F">
                <w:rPr>
                  <w:rFonts w:ascii="Lato"/>
                  <w:color w:val="0000FF" w:themeColor="hyperlink"/>
                  <w:u w:val="single"/>
                </w:rPr>
                <w:t>Title VII of the Civil Rights Act of 1964</w:t>
              </w:r>
            </w:hyperlink>
          </w:p>
        </w:tc>
      </w:tr>
    </w:tbl>
    <w:p w:rsidR="00FB71E1" w:rsidRDefault="001D5E4F">
      <w:pPr>
        <w:shd w:val="clear" w:color="auto" w:fill="F9F9F9"/>
        <w:spacing w:line="480" w:lineRule="auto"/>
        <w:divId w:val="1290671184"/>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5C2779">
        <w:tc>
          <w:tcPr>
            <w:tcW w:w="4017" w:type="dxa"/>
          </w:tcPr>
          <w:p w:rsidR="005C2779" w:rsidRDefault="001D5E4F">
            <w:pPr>
              <w:spacing w:after="0"/>
            </w:pPr>
            <w:r>
              <w:rPr>
                <w:rFonts w:ascii="Lato Black"/>
                <w:b/>
              </w:rPr>
              <w:t>Code</w:t>
            </w:r>
          </w:p>
        </w:tc>
        <w:tc>
          <w:tcPr>
            <w:tcW w:w="5961" w:type="dxa"/>
          </w:tcPr>
          <w:p w:rsidR="005C2779" w:rsidRDefault="001D5E4F">
            <w:pPr>
              <w:spacing w:after="0"/>
            </w:pPr>
            <w:r>
              <w:rPr>
                <w:rFonts w:ascii="Lato Black"/>
                <w:b/>
              </w:rPr>
              <w:t>Description</w:t>
            </w:r>
          </w:p>
        </w:tc>
      </w:tr>
      <w:tr w:rsidR="005C2779">
        <w:tc>
          <w:tcPr>
            <w:tcW w:w="4017" w:type="dxa"/>
          </w:tcPr>
          <w:p w:rsidR="005C2779" w:rsidRDefault="001D5E4F">
            <w:pPr>
              <w:spacing w:after="0"/>
            </w:pPr>
            <w:r>
              <w:rPr>
                <w:rFonts w:ascii="Lato"/>
              </w:rPr>
              <w:t>AC</w:t>
            </w:r>
          </w:p>
        </w:tc>
        <w:tc>
          <w:tcPr>
            <w:tcW w:w="5961" w:type="dxa"/>
          </w:tcPr>
          <w:p w:rsidR="005C2779" w:rsidRDefault="00A21072">
            <w:hyperlink r:id="rId11" w:docLocation="https://simbli.eboardsolutions.com/Policy/ViewPolicy.aspx?S=36031111&amp;revid=jJbOXTUslshR52kdUsNlplusMAgw==">
              <w:r w:rsidR="001D5E4F">
                <w:rPr>
                  <w:rFonts w:ascii="Lato"/>
                  <w:color w:val="0000FF" w:themeColor="hyperlink"/>
                  <w:u w:val="single"/>
                </w:rPr>
                <w:t>PROHIBITION AGAINST ILLEGAL DISCRIMINATION, HARASSMENT AND RETALIATION</w:t>
              </w:r>
            </w:hyperlink>
          </w:p>
        </w:tc>
      </w:tr>
      <w:tr w:rsidR="005C2779">
        <w:tc>
          <w:tcPr>
            <w:tcW w:w="4017" w:type="dxa"/>
          </w:tcPr>
          <w:p w:rsidR="005C2779" w:rsidRDefault="001D5E4F">
            <w:pPr>
              <w:spacing w:after="0"/>
            </w:pPr>
            <w:r>
              <w:rPr>
                <w:rFonts w:ascii="Lato"/>
              </w:rPr>
              <w:t>GBA</w:t>
            </w:r>
          </w:p>
        </w:tc>
        <w:tc>
          <w:tcPr>
            <w:tcW w:w="5961" w:type="dxa"/>
          </w:tcPr>
          <w:p w:rsidR="005C2779" w:rsidRDefault="00A21072">
            <w:hyperlink r:id="rId12" w:docLocation="https://simbli.eboardsolutions.com/Policy/ViewPolicy.aspx?S=36031111&amp;revid=HsSaMpbjpzAI7v5JIFRplustw==">
              <w:r w:rsidR="001D5E4F">
                <w:rPr>
                  <w:rFonts w:ascii="Lato"/>
                  <w:color w:val="0000FF" w:themeColor="hyperlink"/>
                  <w:u w:val="single"/>
                </w:rPr>
                <w:t>EXEMPT AND NONEXEMPT EMPLOYEES</w:t>
              </w:r>
            </w:hyperlink>
          </w:p>
        </w:tc>
      </w:tr>
      <w:tr w:rsidR="005C2779">
        <w:tc>
          <w:tcPr>
            <w:tcW w:w="4017" w:type="dxa"/>
          </w:tcPr>
          <w:p w:rsidR="005C2779" w:rsidRDefault="001D5E4F">
            <w:pPr>
              <w:spacing w:after="0"/>
            </w:pPr>
            <w:r>
              <w:rPr>
                <w:rFonts w:ascii="Lato"/>
              </w:rPr>
              <w:t>KK</w:t>
            </w:r>
          </w:p>
        </w:tc>
        <w:tc>
          <w:tcPr>
            <w:tcW w:w="5961" w:type="dxa"/>
          </w:tcPr>
          <w:p w:rsidR="005C2779" w:rsidRDefault="00A21072">
            <w:hyperlink r:id="rId13" w:docLocation="https://simbli.eboardsolutions.com/Policy/ViewPolicy.aspx?S=36031111&amp;revid=XmtbeSwXtyLEL2dbirQ9LA==">
              <w:r w:rsidR="001D5E4F">
                <w:rPr>
                  <w:rFonts w:ascii="Lato"/>
                  <w:color w:val="0000FF" w:themeColor="hyperlink"/>
                  <w:u w:val="single"/>
                </w:rPr>
                <w:t>VISITORS TO DISTRICT PROPERTY/EVENTS</w:t>
              </w:r>
            </w:hyperlink>
          </w:p>
        </w:tc>
      </w:tr>
      <w:tr w:rsidR="005C2779">
        <w:tc>
          <w:tcPr>
            <w:tcW w:w="4017" w:type="dxa"/>
          </w:tcPr>
          <w:p w:rsidR="005C2779" w:rsidRDefault="001D5E4F">
            <w:pPr>
              <w:spacing w:after="0"/>
            </w:pPr>
            <w:r>
              <w:rPr>
                <w:rFonts w:ascii="Lato"/>
              </w:rPr>
              <w:t>KK-AP(1)</w:t>
            </w:r>
          </w:p>
        </w:tc>
        <w:tc>
          <w:tcPr>
            <w:tcW w:w="5961" w:type="dxa"/>
          </w:tcPr>
          <w:p w:rsidR="005C2779" w:rsidRDefault="00A21072">
            <w:hyperlink r:id="rId14" w:docLocation="https://simbli.eboardsolutions.com/Policy/ViewPolicy.aspx?S=36031111&amp;revid=0CTNClPfRiRzMPh0mx2slshrA==">
              <w:r w:rsidR="001D5E4F">
                <w:rPr>
                  <w:rFonts w:ascii="Lato"/>
                  <w:color w:val="0000FF" w:themeColor="hyperlink"/>
                  <w:u w:val="single"/>
                </w:rPr>
                <w:t>VISITORS TO DISTRICT PROPERTY/EVENTS - (Public Conduct on District Property)</w:t>
              </w:r>
            </w:hyperlink>
          </w:p>
        </w:tc>
      </w:tr>
    </w:tbl>
    <w:p w:rsidR="001D5E4F" w:rsidRDefault="001D5E4F"/>
    <w:sectPr w:rsidR="001D5E4F">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79"/>
    <w:rsid w:val="000C0A5D"/>
    <w:rsid w:val="001D5E4F"/>
    <w:rsid w:val="005C2779"/>
    <w:rsid w:val="00A21072"/>
    <w:rsid w:val="00FB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3208">
      <w:bodyDiv w:val="1"/>
      <w:marLeft w:val="0"/>
      <w:marRight w:val="0"/>
      <w:marTop w:val="0"/>
      <w:marBottom w:val="0"/>
      <w:divBdr>
        <w:top w:val="none" w:sz="0" w:space="0" w:color="auto"/>
        <w:left w:val="none" w:sz="0" w:space="0" w:color="auto"/>
        <w:bottom w:val="none" w:sz="0" w:space="0" w:color="auto"/>
        <w:right w:val="none" w:sz="0" w:space="0" w:color="auto"/>
      </w:divBdr>
      <w:divsChild>
        <w:div w:id="1971935515">
          <w:marLeft w:val="0"/>
          <w:marRight w:val="0"/>
          <w:marTop w:val="0"/>
          <w:marBottom w:val="0"/>
          <w:divBdr>
            <w:top w:val="none" w:sz="0" w:space="0" w:color="auto"/>
            <w:left w:val="none" w:sz="0" w:space="0" w:color="auto"/>
            <w:bottom w:val="none" w:sz="0" w:space="0" w:color="auto"/>
            <w:right w:val="none" w:sz="0" w:space="0" w:color="auto"/>
          </w:divBdr>
        </w:div>
      </w:divsChild>
    </w:div>
    <w:div w:id="389690957">
      <w:bodyDiv w:val="1"/>
      <w:marLeft w:val="0"/>
      <w:marRight w:val="0"/>
      <w:marTop w:val="0"/>
      <w:marBottom w:val="0"/>
      <w:divBdr>
        <w:top w:val="none" w:sz="0" w:space="0" w:color="auto"/>
        <w:left w:val="none" w:sz="0" w:space="0" w:color="auto"/>
        <w:bottom w:val="none" w:sz="0" w:space="0" w:color="auto"/>
        <w:right w:val="none" w:sz="0" w:space="0" w:color="auto"/>
      </w:divBdr>
      <w:divsChild>
        <w:div w:id="1782845612">
          <w:marLeft w:val="0"/>
          <w:marRight w:val="0"/>
          <w:marTop w:val="0"/>
          <w:marBottom w:val="0"/>
          <w:divBdr>
            <w:top w:val="none" w:sz="0" w:space="0" w:color="auto"/>
            <w:left w:val="none" w:sz="0" w:space="0" w:color="auto"/>
            <w:bottom w:val="none" w:sz="0" w:space="0" w:color="auto"/>
            <w:right w:val="none" w:sz="0" w:space="0" w:color="auto"/>
          </w:divBdr>
          <w:divsChild>
            <w:div w:id="2067410062">
              <w:marLeft w:val="0"/>
              <w:marRight w:val="0"/>
              <w:marTop w:val="0"/>
              <w:marBottom w:val="0"/>
              <w:divBdr>
                <w:top w:val="none" w:sz="0" w:space="0" w:color="auto"/>
                <w:left w:val="none" w:sz="0" w:space="0" w:color="auto"/>
                <w:bottom w:val="none" w:sz="0" w:space="0" w:color="auto"/>
                <w:right w:val="none" w:sz="0" w:space="0" w:color="auto"/>
              </w:divBdr>
              <w:divsChild>
                <w:div w:id="6542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6383">
      <w:bodyDiv w:val="1"/>
      <w:marLeft w:val="0"/>
      <w:marRight w:val="0"/>
      <w:marTop w:val="0"/>
      <w:marBottom w:val="0"/>
      <w:divBdr>
        <w:top w:val="none" w:sz="0" w:space="0" w:color="auto"/>
        <w:left w:val="none" w:sz="0" w:space="0" w:color="auto"/>
        <w:bottom w:val="none" w:sz="0" w:space="0" w:color="auto"/>
        <w:right w:val="none" w:sz="0" w:space="0" w:color="auto"/>
      </w:divBdr>
      <w:divsChild>
        <w:div w:id="1290671184">
          <w:marLeft w:val="0"/>
          <w:marRight w:val="0"/>
          <w:marTop w:val="1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13" Type="http://schemas.openxmlformats.org/officeDocument/2006/relationships/hyperlink" Target="https://simbli.eboardsolutions.com/Policy/ViewPolicy.aspx?S=36031111&amp;revid=XmtbeSwXtyLEL2dbirQ9LA==" TargetMode="External"/><Relationship Id="rId3" Type="http://schemas.openxmlformats.org/officeDocument/2006/relationships/settings" Target="settings.xml"/><Relationship Id="rId7" Type="http://schemas.openxmlformats.org/officeDocument/2006/relationships/hyperlink" Target="http://uscode.house.gov/" TargetMode="External"/><Relationship Id="rId12" Type="http://schemas.openxmlformats.org/officeDocument/2006/relationships/hyperlink" Target="https://simbli.eboardsolutions.com/Policy/ViewPolicy.aspx?S=36031111&amp;revid=HsSaMpbjpzAI7v5JIFRplustw=="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visor.mo.gov/main/Home.aspx" TargetMode="External"/><Relationship Id="rId11" Type="http://schemas.openxmlformats.org/officeDocument/2006/relationships/hyperlink" Target="https://simbli.eboardsolutions.com/Policy/ViewPolicy.aspx?S=36031111&amp;revid=jJbOXTUslshR52kdUsNlplusMAgw==" TargetMode="External"/><Relationship Id="rId5" Type="http://schemas.openxmlformats.org/officeDocument/2006/relationships/hyperlink" Target="https://revisor.mo.gov/main/Home.aspx" TargetMode="External"/><Relationship Id="rId15" Type="http://schemas.openxmlformats.org/officeDocument/2006/relationships/fontTable" Target="fontTable.xml"/><Relationship Id="rId10" Type="http://schemas.openxmlformats.org/officeDocument/2006/relationships/hyperlink" Target="http://uscode.house.gov/" TargetMode="External"/><Relationship Id="rId4" Type="http://schemas.openxmlformats.org/officeDocument/2006/relationships/webSettings" Target="webSettings.xml"/><Relationship Id="rId9" Type="http://schemas.openxmlformats.org/officeDocument/2006/relationships/hyperlink" Target="http://uscode.house.gov/" TargetMode="External"/><Relationship Id="rId14" Type="http://schemas.openxmlformats.org/officeDocument/2006/relationships/hyperlink" Target="https://simbli.eboardsolutions.com/Policy/ViewPolicy.aspx?S=36031111&amp;revid=0CTNClPfRiRzMPh0mx2slsh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4</cp:revision>
  <dcterms:created xsi:type="dcterms:W3CDTF">2023-01-13T17:20:00Z</dcterms:created>
  <dcterms:modified xsi:type="dcterms:W3CDTF">2023-01-13T17:24:00Z</dcterms:modified>
</cp:coreProperties>
</file>